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Arial" w:hAnsi="Arial"/>
          <w:sz w:val="24"/>
          <w:szCs w:val="24"/>
        </w:rPr>
      </w:pPr>
      <w:r>
        <w:rPr>
          <w:b/>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b/>
          <w:i w:val="false"/>
          <w:iCs w:val="false"/>
          <w:color w:val="000000"/>
          <w:sz w:val="24"/>
          <w:szCs w:val="24"/>
        </w:rPr>
        <w:t xml:space="preserve">AVISO DE DISPENSA ELETRÔNICA Nº </w:t>
      </w:r>
      <w:r>
        <w:rPr>
          <w:rFonts w:eastAsia="Arial" w:cs="Arial"/>
          <w:b/>
          <w:i w:val="false"/>
          <w:iCs w:val="false"/>
          <w:color w:val="000000"/>
          <w:kern w:val="0"/>
          <w:sz w:val="24"/>
          <w:szCs w:val="24"/>
          <w:lang w:val="pt-BR" w:eastAsia="zh-CN" w:bidi="hi-IN"/>
        </w:rPr>
        <w:t>9006</w:t>
      </w:r>
      <w:r>
        <w:rPr>
          <w:rFonts w:eastAsia="Arial" w:cs="Arial"/>
          <w:b/>
          <w:i w:val="false"/>
          <w:iCs w:val="false"/>
          <w:color w:val="000000"/>
          <w:kern w:val="0"/>
          <w:sz w:val="24"/>
          <w:szCs w:val="24"/>
          <w:lang w:val="pt-BR" w:eastAsia="zh-CN" w:bidi="hi-IN"/>
        </w:rPr>
        <w:t>7</w:t>
      </w:r>
      <w:r>
        <w:rPr>
          <w:b/>
          <w:i w:val="false"/>
          <w:iCs w:val="false"/>
          <w:color w:val="000000"/>
          <w:sz w:val="24"/>
          <w:szCs w:val="24"/>
        </w:rPr>
        <w:t>/2024</w:t>
      </w:r>
    </w:p>
    <w:p>
      <w:pPr>
        <w:pStyle w:val="Normal"/>
        <w:spacing w:lineRule="auto" w:line="276" w:before="0" w:after="120"/>
        <w:ind w:right="-15" w:hanging="0"/>
        <w:jc w:val="center"/>
        <w:rPr/>
      </w:pPr>
      <w:r>
        <w:rPr>
          <w:b/>
          <w:i w:val="false"/>
          <w:iCs w:val="false"/>
          <w:color w:val="000000"/>
          <w:sz w:val="24"/>
          <w:szCs w:val="24"/>
          <w:shd w:fill="auto" w:val="clear"/>
        </w:rPr>
        <w:t xml:space="preserve">(Processo Administrativo </w:t>
      </w:r>
      <w:r>
        <w:rPr>
          <w:rStyle w:val="Nfaseforte"/>
          <w:rFonts w:eastAsia="Times New Roman" w:cs="Arial"/>
          <w:b/>
          <w:bCs/>
          <w:i w:val="false"/>
          <w:iCs w:val="false"/>
          <w:color w:val="000000"/>
          <w:kern w:val="0"/>
          <w:sz w:val="24"/>
          <w:szCs w:val="24"/>
          <w:shd w:fill="auto" w:val="clear"/>
          <w:lang w:val="pt-BR" w:eastAsia="pt-BR" w:bidi="ar-SA"/>
        </w:rPr>
        <w:t>nº.</w:t>
      </w:r>
      <w:r>
        <w:rPr>
          <w:rStyle w:val="Nfaseforte"/>
          <w:rFonts w:eastAsia="Times New Roman" w:cs="Arial"/>
          <w:i w:val="false"/>
          <w:iCs w:val="false"/>
          <w:color w:val="000000"/>
          <w:kern w:val="0"/>
          <w:sz w:val="24"/>
          <w:szCs w:val="24"/>
          <w:shd w:fill="auto" w:val="clear"/>
          <w:lang w:val="pt-BR" w:eastAsia="pt-BR" w:bidi="ar-SA"/>
        </w:rPr>
        <w:t>63430.002089/2024-84</w:t>
      </w:r>
      <w:r>
        <w:rPr>
          <w:rStyle w:val="Nfaseforte"/>
          <w:rFonts w:eastAsia="Times New Roman" w:cs="Arial"/>
          <w:b/>
          <w:bCs/>
          <w:i w:val="false"/>
          <w:iCs w:val="false"/>
          <w:color w:val="000000"/>
          <w:kern w:val="0"/>
          <w:sz w:val="24"/>
          <w:szCs w:val="24"/>
          <w:shd w:fill="auto" w:val="clear"/>
          <w:lang w:val="pt-BR" w:eastAsia="pt-BR" w:bidi="ar-SA"/>
        </w:rPr>
        <w:t>)</w:t>
      </w:r>
    </w:p>
    <w:p>
      <w:pPr>
        <w:pStyle w:val="Normal"/>
        <w:jc w:val="both"/>
        <w:rPr>
          <w:rFonts w:ascii="Arial" w:hAnsi="Arial"/>
          <w:i w:val="false"/>
          <w:i w:val="false"/>
          <w:iCs w:val="false"/>
          <w:sz w:val="24"/>
          <w:szCs w:val="24"/>
        </w:rPr>
      </w:pPr>
      <w:r>
        <w:rPr>
          <w:i w:val="false"/>
          <w:iCs w:val="false"/>
          <w:sz w:val="24"/>
          <w:szCs w:val="24"/>
        </w:rPr>
      </w:r>
    </w:p>
    <w:p>
      <w:pPr>
        <w:pStyle w:val="Normal"/>
        <w:spacing w:lineRule="auto" w:line="276" w:before="0" w:after="120"/>
        <w:ind w:right="-30" w:firstLine="540"/>
        <w:jc w:val="both"/>
        <w:rPr>
          <w:rFonts w:ascii="Arial" w:hAnsi="Arial"/>
          <w:sz w:val="24"/>
          <w:szCs w:val="24"/>
        </w:rPr>
      </w:pPr>
      <w:r>
        <w:rPr>
          <w:i w:val="false"/>
          <w:iCs w:val="false"/>
          <w:color w:val="000000"/>
          <w:sz w:val="24"/>
          <w:szCs w:val="24"/>
        </w:rPr>
        <w:t>Torna-se público que o Batalhão de Operações Especiais de Fuzileiros Navais, por meio do Setor de obtenção, realizará Dispensa Eletrônica, com critério de julgamento</w:t>
      </w:r>
      <w:r>
        <w:rPr>
          <w:b/>
          <w:i w:val="false"/>
          <w:iCs w:val="false"/>
          <w:color w:val="000000"/>
          <w:sz w:val="24"/>
          <w:szCs w:val="24"/>
        </w:rPr>
        <w:t xml:space="preserve"> </w:t>
      </w:r>
      <w:r>
        <w:rPr>
          <w:b w:val="false"/>
          <w:bCs w:val="false"/>
          <w:i w:val="false"/>
          <w:iCs w:val="false"/>
          <w:color w:val="000000"/>
          <w:sz w:val="24"/>
          <w:szCs w:val="24"/>
        </w:rPr>
        <w:t>menor preço,</w:t>
      </w:r>
      <w:r>
        <w:rPr>
          <w:b/>
          <w:i w:val="false"/>
          <w:iCs w:val="false"/>
          <w:color w:val="000000"/>
          <w:sz w:val="24"/>
          <w:szCs w:val="24"/>
        </w:rPr>
        <w:t xml:space="preserve"> </w:t>
      </w:r>
      <w:r>
        <w:rPr>
          <w:i w:val="false"/>
          <w:iCs w:val="false"/>
          <w:color w:val="000000"/>
          <w:sz w:val="24"/>
          <w:szCs w:val="24"/>
        </w:rPr>
        <w:t>na hipótese do art. 75, inciso</w:t>
      </w:r>
      <w:r>
        <w:rPr>
          <w:b/>
          <w:i w:val="false"/>
          <w:iCs w:val="false"/>
          <w:color w:val="000000"/>
          <w:sz w:val="24"/>
          <w:szCs w:val="24"/>
        </w:rPr>
        <w:t xml:space="preserve"> II</w:t>
      </w:r>
      <w:r>
        <w:rPr>
          <w:i w:val="false"/>
          <w:iCs w:val="false"/>
          <w:color w:val="000000"/>
          <w:sz w:val="24"/>
          <w:szCs w:val="24"/>
        </w:rPr>
        <w:t>,</w:t>
      </w:r>
      <w:r>
        <w:rPr>
          <w:i w:val="false"/>
          <w:iCs w:val="false"/>
          <w:color w:val="FF0000"/>
          <w:sz w:val="24"/>
          <w:szCs w:val="24"/>
        </w:rPr>
        <w:t xml:space="preserve"> </w:t>
      </w:r>
      <w:r>
        <w:rPr>
          <w:i w:val="false"/>
          <w:iCs w:val="false"/>
          <w:sz w:val="24"/>
          <w:szCs w:val="24"/>
        </w:rPr>
        <w:t>nos termos da Lei nº 14.133, de 1º de abril de 2021, da Instrução Normativa SEGES/ME nº 67/2021 e demais legislação aplicável</w:t>
      </w:r>
      <w:r>
        <w:rPr>
          <w:i w:val="false"/>
          <w:iCs w:val="false"/>
          <w:color w:val="000000"/>
          <w:sz w:val="24"/>
          <w:szCs w:val="24"/>
        </w:rPr>
        <w:t>.</w:t>
      </w:r>
    </w:p>
    <w:p>
      <w:pPr>
        <w:pStyle w:val="Normal"/>
        <w:spacing w:lineRule="auto" w:line="276"/>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jc w:val="both"/>
        <w:rPr>
          <w:rFonts w:ascii="Arial" w:hAnsi="Arial"/>
          <w:sz w:val="24"/>
          <w:szCs w:val="24"/>
        </w:rPr>
      </w:pPr>
      <w:r>
        <w:rPr>
          <w:i w:val="false"/>
          <w:iCs w:val="false"/>
          <w:color w:val="000000"/>
          <w:sz w:val="24"/>
          <w:szCs w:val="24"/>
        </w:rPr>
        <w:t>Data da sessão:         /         /2024</w:t>
      </w:r>
    </w:p>
    <w:p>
      <w:pPr>
        <w:pStyle w:val="Normal"/>
        <w:jc w:val="both"/>
        <w:rPr>
          <w:rFonts w:ascii="Arial" w:hAnsi="Arial"/>
          <w:sz w:val="24"/>
          <w:szCs w:val="24"/>
        </w:rPr>
      </w:pPr>
      <w:r>
        <w:rPr>
          <w:i w:val="false"/>
          <w:iCs w:val="false"/>
          <w:color w:val="000000"/>
          <w:sz w:val="24"/>
          <w:szCs w:val="24"/>
        </w:rPr>
        <w:t>Link: https://www.comprasnet.gov.br/seguro/loginPortal.asp</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shd w:val="clear" w:fill="auto"/>
        <w:spacing w:lineRule="auto" w:line="276" w:before="120" w:after="120"/>
        <w:ind w:right="0"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OBJETO DA CONTRATAÇÃO DIRETA</w:t>
      </w:r>
    </w:p>
    <w:p>
      <w:pPr>
        <w:pStyle w:val="Normal"/>
        <w:keepNext w:val="true"/>
        <w:keepLines w:val="false"/>
        <w:widowControl/>
        <w:numPr>
          <w:ilvl w:val="1"/>
          <w:numId w:val="3"/>
        </w:numPr>
        <w:shd w:val="clear" w:fill="auto"/>
        <w:spacing w:lineRule="auto" w:line="276" w:before="120" w:after="120"/>
        <w:jc w:val="both"/>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objeto da presente dispensa é a escolha da proposta mais vantajosa para a contrataç</w:t>
      </w:r>
      <w:r>
        <w:rPr>
          <w:rFonts w:eastAsia="Arial" w:cs="Arial"/>
          <w:b w:val="false"/>
          <w:i w:val="false"/>
          <w:iCs w:val="false"/>
          <w:caps w:val="false"/>
          <w:smallCaps w:val="false"/>
          <w:strike w:val="false"/>
          <w:dstrike w:val="false"/>
          <w:color w:val="000000"/>
          <w:kern w:val="0"/>
          <w:position w:val="0"/>
          <w:sz w:val="24"/>
          <w:sz w:val="24"/>
          <w:szCs w:val="24"/>
          <w:u w:val="none"/>
          <w:shd w:fill="FFFFFF" w:val="clear"/>
          <w:vertAlign w:val="baseline"/>
          <w:lang w:val="pt-BR" w:eastAsia="zh-CN" w:bidi="hi-IN"/>
        </w:rPr>
        <w:t xml:space="preserve">ão </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por dispensa de licitação, </w:t>
      </w:r>
      <w:r>
        <w:rPr>
          <w:rStyle w:val="Fontepargpadro"/>
          <w:rFonts w:eastAsia="Times New Roman" w:cs="Times New Roman"/>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 xml:space="preserve">de </w:t>
      </w:r>
      <w:r>
        <w:rPr>
          <w:rStyle w:val="Fontepargpadro"/>
          <w:rFonts w:eastAsia="Times New Roman" w:cs="Times New Roman" w:ascii="Carlto" w:hAnsi="Carlto"/>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material par</w:t>
      </w:r>
      <w:r>
        <w:rPr>
          <w:rStyle w:val="Fontepargpadro"/>
          <w:rFonts w:eastAsia="Times New Roman" w:cs="Times New Roman" w:ascii="Arial" w:hAnsi="Arial"/>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 xml:space="preserve">a </w:t>
      </w:r>
      <w:r>
        <w:rPr>
          <w:rStyle w:val="Fontepargpadro"/>
          <w:rFonts w:eastAsia="Times New Roman" w:cs="Times New Roman" w:ascii="Arial" w:hAnsi="Arial"/>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as</w:t>
      </w:r>
      <w:r>
        <w:rPr>
          <w:rStyle w:val="Fontepargpadro"/>
          <w:rFonts w:eastAsia="Times New Roman" w:cs="Times New Roman" w:ascii="Arial" w:hAnsi="Arial"/>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 xml:space="preserve"> </w:t>
      </w:r>
      <w:r>
        <w:rPr>
          <w:rStyle w:val="Fontepargpadro"/>
          <w:rFonts w:eastAsia="Times New Roman" w:cs="Times New Roman" w:ascii="Arial" w:hAnsi="Arial"/>
          <w:b w:val="false"/>
          <w:bCs w:val="false"/>
          <w:i w:val="false"/>
          <w:iCs/>
          <w:caps w:val="false"/>
          <w:smallCaps w:val="false"/>
          <w:strike w:val="false"/>
          <w:dstrike w:val="false"/>
          <w:outline w:val="false"/>
          <w:shadow w:val="false"/>
          <w:color w:val="000000"/>
          <w:kern w:val="0"/>
          <w:position w:val="0"/>
          <w:sz w:val="24"/>
          <w:sz w:val="24"/>
          <w:szCs w:val="24"/>
          <w:highlight w:val="white"/>
          <w:u w:val="none"/>
          <w:shd w:fill="auto" w:val="clear"/>
          <w:vertAlign w:val="baseline"/>
          <w:em w:val="none"/>
          <w:lang w:val="pt-BR" w:eastAsia="zxx" w:bidi="zxx"/>
        </w:rPr>
        <w:t>Operações Catrimani e Taquari II</w:t>
      </w:r>
      <w:r>
        <w:rPr>
          <w:rFonts w:eastAsia="Arial" w:cs="Arial"/>
          <w:b/>
          <w:i w:val="false"/>
          <w:iCs w:val="false"/>
          <w:caps w:val="false"/>
          <w:smallCaps w:val="false"/>
          <w:strike w:val="false"/>
          <w:dstrike w:val="false"/>
          <w:color w:val="000000"/>
          <w:position w:val="0"/>
          <w:sz w:val="24"/>
          <w:sz w:val="24"/>
          <w:szCs w:val="24"/>
          <w:u w:val="none"/>
          <w:vertAlign w:val="baseline"/>
        </w:rPr>
        <w:t>,</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condições, quantidades e exigências estabelecidas neste Aviso de Aquisição Direta e seus anexos.</w:t>
      </w:r>
    </w:p>
    <w:p>
      <w:pPr>
        <w:pStyle w:val="Normal"/>
        <w:keepNext w:val="true"/>
        <w:keepLines w:val="false"/>
        <w:widowControl/>
        <w:numPr>
          <w:ilvl w:val="1"/>
          <w:numId w:val="3"/>
        </w:numPr>
        <w:shd w:val="clear" w:fill="auto"/>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contrataç</w:t>
      </w:r>
      <w:r>
        <w:rPr>
          <w:rFonts w:eastAsia="Arial" w:cs="Arial"/>
          <w:b w:val="false"/>
          <w:i w:val="false"/>
          <w:iCs w:val="false"/>
          <w:caps w:val="false"/>
          <w:smallCaps w:val="false"/>
          <w:strike w:val="false"/>
          <w:dstrike w:val="false"/>
          <w:color w:val="000000"/>
          <w:kern w:val="0"/>
          <w:position w:val="0"/>
          <w:sz w:val="24"/>
          <w:sz w:val="24"/>
          <w:szCs w:val="24"/>
          <w:u w:val="none"/>
          <w:shd w:fill="FFFFFF" w:val="clear"/>
          <w:vertAlign w:val="baseline"/>
          <w:lang w:val="pt-BR" w:eastAsia="zh-CN" w:bidi="hi-IN"/>
        </w:rPr>
        <w:t>ão será</w:t>
      </w: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conforme tabela constante abaixo.</w:t>
      </w:r>
    </w:p>
    <w:tbl>
      <w:tblPr>
        <w:tblStyle w:val="Table1"/>
        <w:tblW w:w="10710" w:type="dxa"/>
        <w:jc w:val="left"/>
        <w:tblInd w:w="-497" w:type="dxa"/>
        <w:tblLayout w:type="fixed"/>
        <w:tblCellMar>
          <w:top w:w="0" w:type="dxa"/>
          <w:left w:w="58" w:type="dxa"/>
          <w:bottom w:w="0" w:type="dxa"/>
          <w:right w:w="108" w:type="dxa"/>
        </w:tblCellMar>
        <w:tblLook w:val="0400"/>
      </w:tblPr>
      <w:tblGrid>
        <w:gridCol w:w="565"/>
        <w:gridCol w:w="2146"/>
        <w:gridCol w:w="798"/>
        <w:gridCol w:w="916"/>
        <w:gridCol w:w="901"/>
        <w:gridCol w:w="734"/>
        <w:gridCol w:w="1020"/>
        <w:gridCol w:w="1200"/>
        <w:gridCol w:w="1470"/>
        <w:gridCol w:w="959"/>
      </w:tblGrid>
      <w:tr>
        <w:trPr/>
        <w:tc>
          <w:tcPr>
            <w:tcW w:w="56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bCs/>
                <w:sz w:val="16"/>
                <w:szCs w:val="16"/>
              </w:rPr>
              <w:t>ITEM</w:t>
            </w:r>
          </w:p>
        </w:tc>
        <w:tc>
          <w:tcPr>
            <w:tcW w:w="214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DESCRIÇÃO/</w:t>
            </w:r>
          </w:p>
          <w:p>
            <w:pPr>
              <w:pStyle w:val="Normal"/>
              <w:widowControl w:val="false"/>
              <w:jc w:val="both"/>
              <w:rPr>
                <w:rFonts w:ascii="Carlito" w:hAnsi="Carlito"/>
                <w:sz w:val="16"/>
                <w:szCs w:val="16"/>
              </w:rPr>
            </w:pPr>
            <w:r>
              <w:rPr>
                <w:rFonts w:ascii="Carlito" w:hAnsi="Carlito"/>
                <w:b/>
                <w:i w:val="false"/>
                <w:iCs w:val="false"/>
                <w:color w:val="000000"/>
                <w:sz w:val="16"/>
                <w:szCs w:val="16"/>
              </w:rPr>
              <w:t>ESPECIFICAÇÃO</w:t>
            </w:r>
          </w:p>
        </w:tc>
        <w:tc>
          <w:tcPr>
            <w:tcW w:w="79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rFonts w:ascii="Carlito" w:hAnsi="Carlito"/>
                <w:sz w:val="16"/>
                <w:szCs w:val="16"/>
              </w:rPr>
            </w:pPr>
            <w:r>
              <w:rPr>
                <w:rFonts w:ascii="Carlito" w:hAnsi="Carlito"/>
                <w:b/>
                <w:bCs/>
                <w:sz w:val="16"/>
                <w:szCs w:val="16"/>
              </w:rPr>
              <w:t>PDM</w:t>
            </w:r>
          </w:p>
        </w:tc>
        <w:tc>
          <w:tcPr>
            <w:tcW w:w="916" w:type="dxa"/>
            <w:tcBorders>
              <w:top w:val="single" w:sz="4" w:space="0" w:color="000001"/>
              <w:left w:val="single" w:sz="4" w:space="0" w:color="000001"/>
              <w:bottom w:val="single" w:sz="4" w:space="0" w:color="000001"/>
              <w:right w:val="single" w:sz="4" w:space="0" w:color="000001"/>
            </w:tcBorders>
            <w:shd w:fill="auto" w:val="clear"/>
          </w:tcPr>
          <w:p>
            <w:pPr>
              <w:pStyle w:val="Default"/>
              <w:widowControl w:val="false"/>
              <w:jc w:val="both"/>
              <w:rPr>
                <w:rFonts w:ascii="Carlito" w:hAnsi="Carlito"/>
                <w:sz w:val="16"/>
                <w:szCs w:val="16"/>
              </w:rPr>
            </w:pPr>
            <w:r>
              <w:rPr>
                <w:rFonts w:ascii="Carlito" w:hAnsi="Carlito"/>
                <w:b/>
                <w:bCs/>
                <w:i w:val="false"/>
                <w:iCs w:val="false"/>
                <w:sz w:val="16"/>
                <w:szCs w:val="16"/>
              </w:rPr>
              <w:t>CATMAT/</w:t>
            </w:r>
          </w:p>
          <w:p>
            <w:pPr>
              <w:pStyle w:val="Default"/>
              <w:widowControl w:val="false"/>
              <w:jc w:val="both"/>
              <w:rPr>
                <w:rFonts w:ascii="Carlito" w:hAnsi="Carlito"/>
                <w:sz w:val="16"/>
                <w:szCs w:val="16"/>
              </w:rPr>
            </w:pPr>
            <w:r>
              <w:rPr>
                <w:rFonts w:ascii="Carlito" w:hAnsi="Carlito"/>
                <w:b/>
                <w:bCs/>
                <w:i w:val="false"/>
                <w:iCs w:val="false"/>
                <w:color w:val="000000"/>
                <w:sz w:val="16"/>
                <w:szCs w:val="16"/>
              </w:rPr>
              <w:t>CATSER</w:t>
            </w:r>
          </w:p>
        </w:tc>
        <w:tc>
          <w:tcPr>
            <w:tcW w:w="90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UNIDADE DE MEDIDA</w:t>
            </w:r>
          </w:p>
        </w:tc>
        <w:tc>
          <w:tcPr>
            <w:tcW w:w="7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QUANT.</w:t>
            </w:r>
          </w:p>
        </w:tc>
        <w:tc>
          <w:tcPr>
            <w:tcW w:w="10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bCs/>
                <w:i w:val="false"/>
                <w:iCs w:val="false"/>
                <w:sz w:val="16"/>
                <w:szCs w:val="16"/>
              </w:rPr>
              <w:t>PREÇO ESTIMADO UNITÁRIO</w:t>
            </w:r>
          </w:p>
        </w:tc>
        <w:tc>
          <w:tcPr>
            <w:tcW w:w="120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PREÇO ESTIMADO TOTAL</w:t>
            </w:r>
          </w:p>
        </w:tc>
        <w:tc>
          <w:tcPr>
            <w:tcW w:w="147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LOCAL DE ENTREGA</w:t>
            </w:r>
          </w:p>
        </w:tc>
        <w:tc>
          <w:tcPr>
            <w:tcW w:w="95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both"/>
              <w:rPr>
                <w:rFonts w:ascii="Carlito" w:hAnsi="Carlito"/>
                <w:sz w:val="16"/>
                <w:szCs w:val="16"/>
              </w:rPr>
            </w:pPr>
            <w:r>
              <w:rPr>
                <w:rFonts w:ascii="Carlito" w:hAnsi="Carlito"/>
                <w:b/>
                <w:i w:val="false"/>
                <w:iCs w:val="false"/>
                <w:color w:val="000000"/>
                <w:sz w:val="16"/>
                <w:szCs w:val="16"/>
              </w:rPr>
              <w:t>PRAZO DE ENTREGA</w:t>
            </w:r>
          </w:p>
        </w:tc>
      </w:tr>
      <w:tr>
        <w:trPr>
          <w:trHeight w:val="1253" w:hRule="atLeast"/>
        </w:trPr>
        <w:tc>
          <w:tcPr>
            <w:tcW w:w="565"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1</w:t>
            </w:r>
          </w:p>
        </w:tc>
        <w:tc>
          <w:tcPr>
            <w:tcW w:w="214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both"/>
              <w:rPr>
                <w:rFonts w:ascii="Carlito" w:hAnsi="Carlito"/>
                <w:color w:val="000000"/>
                <w:sz w:val="18"/>
                <w:szCs w:val="18"/>
              </w:rPr>
            </w:pPr>
            <w:r>
              <w:rPr>
                <w:rFonts w:ascii="Carlito" w:hAnsi="Carlito"/>
                <w:color w:val="000000"/>
                <w:sz w:val="18"/>
                <w:szCs w:val="18"/>
              </w:rPr>
              <w:t>CANTONEIRA 1. ¼ X 3/16</w:t>
            </w:r>
          </w:p>
        </w:tc>
        <w:tc>
          <w:tcPr>
            <w:tcW w:w="798"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4435</w:t>
            </w:r>
          </w:p>
        </w:tc>
        <w:tc>
          <w:tcPr>
            <w:tcW w:w="916"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608588</w:t>
            </w:r>
          </w:p>
        </w:tc>
        <w:tc>
          <w:tcPr>
            <w:tcW w:w="901"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UN</w:t>
            </w:r>
          </w:p>
        </w:tc>
        <w:tc>
          <w:tcPr>
            <w:tcW w:w="734"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8</w:t>
            </w:r>
          </w:p>
        </w:tc>
        <w:tc>
          <w:tcPr>
            <w:tcW w:w="102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R$ 118,54</w:t>
            </w:r>
          </w:p>
        </w:tc>
        <w:tc>
          <w:tcPr>
            <w:tcW w:w="1200" w:type="dxa"/>
            <w:tcBorders>
              <w:top w:val="single" w:sz="4" w:space="0" w:color="000001"/>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R$ 948,32</w:t>
            </w:r>
          </w:p>
        </w:tc>
        <w:tc>
          <w:tcPr>
            <w:tcW w:w="147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95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960" w:hRule="atLeast"/>
        </w:trPr>
        <w:tc>
          <w:tcPr>
            <w:tcW w:w="56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2</w:t>
            </w:r>
          </w:p>
        </w:tc>
        <w:tc>
          <w:tcPr>
            <w:tcW w:w="2146" w:type="dxa"/>
            <w:tcBorders>
              <w:left w:val="single" w:sz="4" w:space="0" w:color="000001"/>
              <w:bottom w:val="single" w:sz="4" w:space="0" w:color="000001"/>
              <w:right w:val="single" w:sz="4" w:space="0" w:color="000001"/>
            </w:tcBorders>
            <w:shd w:fill="auto" w:val="clear"/>
            <w:vAlign w:val="center"/>
          </w:tcPr>
          <w:p>
            <w:pPr>
              <w:pStyle w:val="Contedodatabela"/>
              <w:jc w:val="both"/>
              <w:rPr>
                <w:rFonts w:ascii="Carlito" w:hAnsi="Carlito"/>
                <w:color w:val="000000"/>
                <w:sz w:val="18"/>
                <w:szCs w:val="18"/>
              </w:rPr>
            </w:pPr>
            <w:r>
              <w:rPr>
                <w:rFonts w:ascii="Carlito" w:hAnsi="Carlito"/>
                <w:color w:val="000000"/>
                <w:sz w:val="18"/>
                <w:szCs w:val="18"/>
              </w:rPr>
              <w:t>DISCO NORTON 4,5 X 3/64 X 7/8 INOX</w:t>
            </w:r>
          </w:p>
        </w:tc>
        <w:tc>
          <w:tcPr>
            <w:tcW w:w="798"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14901</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235714</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50</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R$ 7,69</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R$ 384,50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3</w:t>
            </w:r>
          </w:p>
        </w:tc>
        <w:tc>
          <w:tcPr>
            <w:tcW w:w="2146" w:type="dxa"/>
            <w:tcBorders>
              <w:left w:val="single" w:sz="4" w:space="0" w:color="000001"/>
              <w:bottom w:val="single" w:sz="4" w:space="0" w:color="000001"/>
              <w:right w:val="single" w:sz="4" w:space="0" w:color="000001"/>
            </w:tcBorders>
            <w:shd w:fill="auto" w:val="clear"/>
            <w:vAlign w:val="center"/>
          </w:tcPr>
          <w:p>
            <w:pPr>
              <w:pStyle w:val="Contedodatabela"/>
              <w:jc w:val="both"/>
              <w:rPr>
                <w:rFonts w:ascii="Carlito" w:hAnsi="Carlito"/>
                <w:color w:val="000000"/>
                <w:sz w:val="18"/>
                <w:szCs w:val="18"/>
              </w:rPr>
            </w:pPr>
            <w:r>
              <w:rPr>
                <w:rFonts w:ascii="Carlito" w:hAnsi="Carlito"/>
                <w:color w:val="000000"/>
                <w:sz w:val="18"/>
                <w:szCs w:val="18"/>
              </w:rPr>
              <w:t>ELETRODO ESAB OK SERRALHEIRO 2.50MM</w:t>
            </w:r>
          </w:p>
        </w:tc>
        <w:tc>
          <w:tcPr>
            <w:tcW w:w="798"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12183</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367447</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10</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R$ 34,26</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R$ 342,60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4</w:t>
            </w:r>
          </w:p>
        </w:tc>
        <w:tc>
          <w:tcPr>
            <w:tcW w:w="2146" w:type="dxa"/>
            <w:tcBorders>
              <w:left w:val="single" w:sz="4" w:space="0" w:color="000001"/>
              <w:bottom w:val="single" w:sz="4" w:space="0" w:color="000001"/>
              <w:right w:val="single" w:sz="4" w:space="0" w:color="000001"/>
            </w:tcBorders>
            <w:shd w:fill="auto" w:val="clear"/>
            <w:vAlign w:val="center"/>
          </w:tcPr>
          <w:p>
            <w:pPr>
              <w:pStyle w:val="Contedodatabela"/>
              <w:jc w:val="both"/>
              <w:rPr>
                <w:rFonts w:ascii="Carlito" w:hAnsi="Carlito"/>
                <w:color w:val="00000A"/>
                <w:sz w:val="18"/>
                <w:szCs w:val="18"/>
              </w:rPr>
            </w:pPr>
            <w:r>
              <w:rPr>
                <w:rFonts w:ascii="Carlito" w:hAnsi="Carlito"/>
                <w:color w:val="00000A"/>
                <w:sz w:val="18"/>
                <w:szCs w:val="18"/>
              </w:rPr>
              <w:t>TUBO GALVANIZADO C/ ROSCA 1” X 3,35 5580M</w:t>
            </w:r>
          </w:p>
        </w:tc>
        <w:tc>
          <w:tcPr>
            <w:tcW w:w="798"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13642</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610393</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60</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R$ 270,57</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R$ 16.234,20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rHeight w:val="1055" w:hRule="atLeast"/>
        </w:trPr>
        <w:tc>
          <w:tcPr>
            <w:tcW w:w="565"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sz w:val="18"/>
                <w:szCs w:val="18"/>
              </w:rPr>
            </w:pPr>
            <w:r>
              <w:rPr>
                <w:rFonts w:ascii="Carlito" w:hAnsi="Carlito"/>
                <w:sz w:val="18"/>
                <w:szCs w:val="18"/>
              </w:rPr>
              <w:t>5</w:t>
            </w:r>
          </w:p>
        </w:tc>
        <w:tc>
          <w:tcPr>
            <w:tcW w:w="2146" w:type="dxa"/>
            <w:tcBorders>
              <w:left w:val="single" w:sz="4" w:space="0" w:color="000001"/>
              <w:bottom w:val="single" w:sz="4" w:space="0" w:color="000001"/>
              <w:right w:val="single" w:sz="4" w:space="0" w:color="000001"/>
            </w:tcBorders>
            <w:shd w:fill="auto" w:val="clear"/>
            <w:vAlign w:val="center"/>
          </w:tcPr>
          <w:p>
            <w:pPr>
              <w:pStyle w:val="Contedodatabela"/>
              <w:jc w:val="both"/>
              <w:rPr>
                <w:rFonts w:ascii="Carlito" w:hAnsi="Carlito"/>
                <w:color w:val="00000A"/>
                <w:sz w:val="18"/>
                <w:szCs w:val="18"/>
              </w:rPr>
            </w:pPr>
            <w:r>
              <w:rPr>
                <w:rFonts w:ascii="Carlito" w:hAnsi="Carlito"/>
                <w:color w:val="00000A"/>
                <w:sz w:val="18"/>
                <w:szCs w:val="18"/>
              </w:rPr>
              <w:t>TUBO METALON 50X30 X 2,65MM</w:t>
            </w:r>
          </w:p>
        </w:tc>
        <w:tc>
          <w:tcPr>
            <w:tcW w:w="798"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14495</w:t>
            </w:r>
          </w:p>
        </w:tc>
        <w:tc>
          <w:tcPr>
            <w:tcW w:w="916"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A"/>
                <w:sz w:val="18"/>
                <w:szCs w:val="18"/>
              </w:rPr>
            </w:pPr>
            <w:r>
              <w:rPr>
                <w:rFonts w:ascii="Carlito" w:hAnsi="Carlito"/>
                <w:color w:val="00000A"/>
                <w:sz w:val="18"/>
                <w:szCs w:val="18"/>
              </w:rPr>
              <w:t>408071</w:t>
            </w:r>
          </w:p>
        </w:tc>
        <w:tc>
          <w:tcPr>
            <w:tcW w:w="901"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UN</w:t>
            </w:r>
          </w:p>
        </w:tc>
        <w:tc>
          <w:tcPr>
            <w:tcW w:w="734"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10</w:t>
            </w:r>
          </w:p>
        </w:tc>
        <w:tc>
          <w:tcPr>
            <w:tcW w:w="102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R$ 254,39</w:t>
            </w:r>
          </w:p>
        </w:tc>
        <w:tc>
          <w:tcPr>
            <w:tcW w:w="1200" w:type="dxa"/>
            <w:tcBorders>
              <w:left w:val="single" w:sz="4" w:space="0" w:color="000001"/>
              <w:bottom w:val="single" w:sz="4" w:space="0" w:color="000001"/>
              <w:right w:val="single" w:sz="4" w:space="0" w:color="000001"/>
            </w:tcBorders>
            <w:shd w:fill="auto" w:val="clear"/>
            <w:vAlign w:val="center"/>
          </w:tcPr>
          <w:p>
            <w:pPr>
              <w:pStyle w:val="Contedodatabela"/>
              <w:jc w:val="center"/>
              <w:rPr>
                <w:rFonts w:ascii="Carlito" w:hAnsi="Carlito"/>
                <w:color w:val="000000"/>
                <w:sz w:val="18"/>
                <w:szCs w:val="18"/>
              </w:rPr>
            </w:pPr>
            <w:r>
              <w:rPr>
                <w:rFonts w:ascii="Carlito" w:hAnsi="Carlito"/>
                <w:color w:val="000000"/>
                <w:sz w:val="18"/>
                <w:szCs w:val="18"/>
              </w:rPr>
              <w:t>R$ 2.543,90</w:t>
            </w:r>
          </w:p>
        </w:tc>
        <w:tc>
          <w:tcPr>
            <w:tcW w:w="1470"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959" w:type="dxa"/>
            <w:tcBorders>
              <w:left w:val="single" w:sz="4" w:space="0" w:color="000001"/>
              <w:bottom w:val="single" w:sz="4" w:space="0" w:color="000001"/>
              <w:right w:val="single" w:sz="4" w:space="0" w:color="000001"/>
            </w:tcBorders>
            <w:shd w:fill="auto" w:val="clear"/>
            <w:vAlign w:val="center"/>
          </w:tcPr>
          <w:p>
            <w:pPr>
              <w:pStyle w:val="Normal"/>
              <w:widowControl w:val="false"/>
              <w:tabs>
                <w:tab w:val="clear" w:pos="709"/>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bl>
    <w:p>
      <w:pPr>
        <w:pStyle w:val="Normal"/>
        <w:keepNext w:val="true"/>
        <w:keepLines w:val="false"/>
        <w:widowControl/>
        <w:numPr>
          <w:ilvl w:val="0"/>
          <w:numId w:val="0"/>
        </w:numPr>
        <w:shd w:val="clear" w:fill="auto"/>
        <w:spacing w:lineRule="auto" w:line="276" w:before="120" w:after="120"/>
        <w:ind w:left="1944" w:right="0" w:hanging="0"/>
        <w:jc w:val="both"/>
        <w:rPr>
          <w:rFonts w:ascii="Arial" w:hAnsi="Arial" w:eastAsia="Arial" w:cs="Arial"/>
          <w:b w:val="false"/>
          <w:b w:val="false"/>
          <w:i w:val="false"/>
          <w:i w:val="false"/>
          <w:iCs w:val="false"/>
          <w:caps w:val="false"/>
          <w:smallCaps w:val="false"/>
          <w:strike w:val="false"/>
          <w:dstrike w:val="false"/>
          <w:color w:val="000000"/>
          <w:position w:val="0"/>
          <w:sz w:val="24"/>
          <w:sz w:val="24"/>
          <w:szCs w:val="24"/>
          <w:highlight w:val="white"/>
          <w:u w:val="none"/>
          <w:vertAlign w:val="baseline"/>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r>
    </w:p>
    <w:p>
      <w:pPr>
        <w:pStyle w:val="Normal"/>
        <w:widowControl/>
        <w:numPr>
          <w:ilvl w:val="2"/>
          <w:numId w:val="3"/>
        </w:numPr>
        <w:shd w:val="clear" w:fill="auto"/>
        <w:spacing w:lineRule="auto" w:line="276" w:before="12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Times New Roman" w:cs="Times New Roman"/>
          <w:b/>
          <w:bCs/>
          <w:i w:val="false"/>
          <w:iCs w:val="false"/>
          <w:caps w:val="false"/>
          <w:smallCaps w:val="false"/>
          <w:strike w:val="false"/>
          <w:dstrike w:val="false"/>
          <w:color w:val="000000"/>
          <w:position w:val="0"/>
          <w:sz w:val="24"/>
          <w:sz w:val="24"/>
          <w:szCs w:val="24"/>
          <w:u w:val="none"/>
          <w:shd w:fill="auto" w:val="clear"/>
          <w:vertAlign w:val="baseline"/>
        </w:rPr>
        <w:t>SÓ SERÃO ACEITAS PEÇAS QUE SEJAM ORIGINAIS.</w:t>
      </w:r>
    </w:p>
    <w:p>
      <w:pPr>
        <w:pStyle w:val="Normal"/>
        <w:widowControl/>
        <w:numPr>
          <w:ilvl w:val="2"/>
          <w:numId w:val="3"/>
        </w:numPr>
        <w:shd w:val="clear" w:fill="auto"/>
        <w:spacing w:lineRule="auto" w:line="276" w:before="12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hd w:val="clear" w:fill="auto"/>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critério de julgamento adotado será o menor preço,</w:t>
      </w:r>
      <w:r>
        <w:rPr>
          <w:rFonts w:eastAsia="Arial" w:cs="Arial"/>
          <w:b w:val="false"/>
          <w:i w:val="false"/>
          <w:iCs w:val="false"/>
          <w:caps w:val="false"/>
          <w:smallCaps w:val="false"/>
          <w:strike w:val="false"/>
          <w:dstrike w:val="false"/>
          <w:color w:val="FF0000"/>
          <w:position w:val="0"/>
          <w:sz w:val="24"/>
          <w:sz w:val="24"/>
          <w:szCs w:val="24"/>
          <w:u w:val="none"/>
          <w:shd w:fill="FFFFFF" w:val="clear"/>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observadas as exigências contidas neste Aviso de Aquisição Direta e seus Anexos quanto às especificações do objeto.</w:t>
      </w:r>
    </w:p>
    <w:p>
      <w:pPr>
        <w:pStyle w:val="Normal"/>
        <w:widowControl/>
        <w:numPr>
          <w:ilvl w:val="0"/>
          <w:numId w:val="0"/>
        </w:numPr>
        <w:shd w:val="clear" w:fill="auto"/>
        <w:spacing w:lineRule="auto" w:line="276" w:before="120" w:after="120"/>
        <w:ind w:left="1152" w:right="0" w:hanging="0"/>
        <w:jc w:val="both"/>
        <w:rPr>
          <w:rFonts w:ascii="Arial" w:hAnsi="Arial"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PARTICIPAÇÃO NA DISPENSA ELETRÔNICA.</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Não poderão participar desta dispensa os fornecedores:</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se enquadrem nas seguintes vedações:</w:t>
      </w:r>
    </w:p>
    <w:p>
      <w:pPr>
        <w:pStyle w:val="Normal"/>
        <w:numPr>
          <w:ilvl w:val="3"/>
          <w:numId w:val="1"/>
        </w:numPr>
        <w:spacing w:lineRule="auto" w:line="276" w:before="120" w:after="120"/>
        <w:ind w:left="1728" w:hanging="648"/>
        <w:jc w:val="both"/>
        <w:rPr>
          <w:rFonts w:ascii="Arial" w:hAnsi="Arial"/>
          <w:sz w:val="24"/>
          <w:szCs w:val="24"/>
        </w:rPr>
      </w:pPr>
      <w:r>
        <w:rPr>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hanging="648"/>
        <w:jc w:val="both"/>
        <w:rPr>
          <w:rFonts w:ascii="Arial" w:hAnsi="Arial"/>
          <w:sz w:val="24"/>
          <w:szCs w:val="24"/>
        </w:rPr>
      </w:pPr>
      <w:r>
        <w:rPr>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hanging="648"/>
        <w:jc w:val="both"/>
        <w:rPr>
          <w:rFonts w:ascii="Arial" w:hAnsi="Arial"/>
          <w:sz w:val="24"/>
          <w:szCs w:val="24"/>
        </w:rPr>
      </w:pPr>
      <w:r>
        <w:rPr>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hanging="648"/>
        <w:jc w:val="both"/>
        <w:rPr>
          <w:rFonts w:ascii="Arial" w:hAnsi="Arial"/>
          <w:sz w:val="24"/>
          <w:szCs w:val="24"/>
        </w:rPr>
      </w:pPr>
      <w:r>
        <w:rPr>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hanging="648"/>
        <w:jc w:val="both"/>
        <w:rPr/>
      </w:pPr>
      <w:r>
        <w:rPr>
          <w:i w:val="false"/>
          <w:iCs w:val="false"/>
          <w:color w:val="000000"/>
          <w:sz w:val="24"/>
          <w:szCs w:val="24"/>
        </w:rPr>
        <w:t>empresas controladoras, controladas ou coligadas, nos termos da </w:t>
      </w:r>
      <w:hyperlink r:id="rId2">
        <w:r>
          <w:rPr>
            <w:i w:val="false"/>
            <w:iCs w:val="false"/>
            <w:color w:val="000080"/>
            <w:sz w:val="24"/>
            <w:szCs w:val="24"/>
            <w:u w:val="single"/>
          </w:rPr>
          <w:t>Lei nº 6.404, de 15 de dezembro de 1976</w:t>
        </w:r>
      </w:hyperlink>
      <w:r>
        <w:rPr>
          <w:i w:val="false"/>
          <w:iCs w:val="false"/>
          <w:color w:val="000000"/>
          <w:sz w:val="24"/>
          <w:szCs w:val="24"/>
        </w:rPr>
        <w:t>, concorrendo entre si;</w:t>
      </w:r>
    </w:p>
    <w:p>
      <w:pPr>
        <w:pStyle w:val="Normal"/>
        <w:numPr>
          <w:ilvl w:val="3"/>
          <w:numId w:val="1"/>
        </w:numPr>
        <w:spacing w:lineRule="auto" w:line="276" w:before="120" w:after="120"/>
        <w:ind w:left="1728" w:hanging="648"/>
        <w:jc w:val="both"/>
        <w:rPr>
          <w:rFonts w:ascii="Arial" w:hAnsi="Arial"/>
          <w:sz w:val="24"/>
          <w:szCs w:val="24"/>
        </w:rPr>
      </w:pPr>
      <w:r>
        <w:rPr>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hanging="648"/>
        <w:jc w:val="both"/>
        <w:rPr>
          <w:rFonts w:ascii="Arial" w:hAnsi="Arial"/>
          <w:sz w:val="24"/>
          <w:szCs w:val="24"/>
        </w:rPr>
      </w:pPr>
      <w:r>
        <w:rPr>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hanging="648"/>
        <w:jc w:val="both"/>
        <w:rPr>
          <w:rFonts w:ascii="Arial" w:hAnsi="Arial"/>
          <w:sz w:val="24"/>
          <w:szCs w:val="24"/>
        </w:rPr>
      </w:pPr>
      <w:r>
        <w:rPr>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INGRESSO NA DISPENSA ELETRÔNICA E CADASTRAMENTO DA PROPOSTA INICIAL</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 xml:space="preserve">Todas as especificações do </w:t>
      </w:r>
      <w:r>
        <w:rPr>
          <w:i w:val="false"/>
          <w:iCs w:val="false"/>
          <w:color w:val="000000"/>
          <w:sz w:val="24"/>
          <w:szCs w:val="24"/>
        </w:rPr>
        <w:t>objeto</w:t>
      </w:r>
      <w:r>
        <w:rPr>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 xml:space="preserve">A apresentação das propostas implica obrigatoriedade do cumprimento das disposições nelas contidas, em conformidade com o que dispõe o </w:t>
      </w:r>
      <w:r>
        <w:rPr>
          <w:i w:val="false"/>
          <w:iCs w:val="false"/>
          <w:color w:val="000000"/>
          <w:sz w:val="24"/>
          <w:szCs w:val="24"/>
        </w:rPr>
        <w:t>Termo de Referência,</w:t>
      </w:r>
      <w:r>
        <w:rPr>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 xml:space="preserve">Uma vez enviada a proposta no sistema, os fornecedores </w:t>
      </w:r>
      <w:r>
        <w:rPr>
          <w:b/>
          <w:i w:val="false"/>
          <w:iCs w:val="false"/>
          <w:sz w:val="24"/>
          <w:szCs w:val="24"/>
        </w:rPr>
        <w:t>NÃO</w:t>
      </w:r>
      <w:r>
        <w:rPr>
          <w:i w:val="false"/>
          <w:iCs w:val="false"/>
          <w:sz w:val="24"/>
          <w:szCs w:val="24"/>
        </w:rPr>
        <w:t xml:space="preserve"> poderão retirá-la, substituí-la ou modificá-la</w:t>
      </w:r>
      <w:r>
        <w:rPr>
          <w:i w:val="false"/>
          <w:iCs w:val="false"/>
          <w:color w:val="000000"/>
          <w:sz w:val="24"/>
          <w:szCs w:val="24"/>
        </w:rPr>
        <w:t>;</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 xml:space="preserve">No cadastramento da proposta inicial, o fornecedor deverá, também, assinalar “sim” ou “não” em campo </w:t>
      </w:r>
      <w:r>
        <w:rPr>
          <w:i w:val="false"/>
          <w:iCs w:val="false"/>
          <w:sz w:val="24"/>
          <w:szCs w:val="24"/>
        </w:rPr>
        <w:t>próprio</w:t>
      </w:r>
      <w:r>
        <w:rPr>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numPr>
          <w:ilvl w:val="0"/>
          <w:numId w:val="0"/>
        </w:numPr>
        <w:shd w:val="clear" w:fill="auto"/>
        <w:spacing w:lineRule="auto" w:line="276" w:before="120" w:after="120"/>
        <w:ind w:left="360" w:right="0" w:hanging="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FASE DE LANCES</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lance deverá ser ofertado pelo valor total do item.</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hd w:val="clear" w:fill="auto"/>
        <w:spacing w:lineRule="auto" w:line="276" w:before="0" w:after="0"/>
        <w:ind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lances iguais ao menor já ofertado, prevalecerá aquele que for recebido e registrado primeiro no sistema.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Caso o fornecedor não apresente lances, concorrerá com o valor de sua proposta.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JULGAMENTO DAS PROPOSTAS DE PREÇO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hanging="432"/>
        <w:jc w:val="both"/>
        <w:rPr>
          <w:rFonts w:ascii="Arial" w:hAnsi="Arial"/>
          <w:sz w:val="24"/>
          <w:szCs w:val="24"/>
        </w:rPr>
      </w:pPr>
      <w:r>
        <w:rPr>
          <w:i w:val="false"/>
          <w:iCs w:val="false"/>
          <w:color w:val="000000"/>
          <w:sz w:val="24"/>
          <w:szCs w:val="24"/>
        </w:rPr>
        <w:t xml:space="preserve">O prazo de validade </w:t>
      </w:r>
      <w:r>
        <w:rPr>
          <w:i w:val="false"/>
          <w:iCs w:val="false"/>
          <w:sz w:val="24"/>
          <w:szCs w:val="24"/>
        </w:rPr>
        <w:t>da</w:t>
      </w:r>
      <w:r>
        <w:rPr>
          <w:i w:val="false"/>
          <w:iCs w:val="false"/>
          <w:color w:val="000000"/>
          <w:sz w:val="24"/>
          <w:szCs w:val="24"/>
        </w:rPr>
        <w:t xml:space="preserve"> proposta não será inferior a 40</w:t>
      </w:r>
      <w:r>
        <w:rPr>
          <w:i w:val="false"/>
          <w:iCs w:val="false"/>
          <w:color w:val="FF0000"/>
          <w:sz w:val="24"/>
          <w:szCs w:val="24"/>
        </w:rPr>
        <w:t xml:space="preserve"> </w:t>
      </w:r>
      <w:r>
        <w:rPr>
          <w:i w:val="false"/>
          <w:iCs w:val="false"/>
          <w:color w:val="000000"/>
          <w:sz w:val="24"/>
          <w:szCs w:val="24"/>
        </w:rPr>
        <w:t>(quarenta) dias</w:t>
      </w:r>
      <w:r>
        <w:rPr>
          <w:b/>
          <w:i w:val="false"/>
          <w:iCs w:val="false"/>
          <w:color w:val="000000"/>
          <w:sz w:val="24"/>
          <w:szCs w:val="24"/>
        </w:rPr>
        <w:t>,</w:t>
      </w:r>
      <w:r>
        <w:rPr>
          <w:i w:val="false"/>
          <w:iCs w:val="false"/>
          <w:color w:val="000000"/>
          <w:sz w:val="24"/>
          <w:szCs w:val="24"/>
        </w:rPr>
        <w:t xml:space="preserve"> a contar da data de sua apresentação.</w:t>
      </w:r>
    </w:p>
    <w:p>
      <w:pPr>
        <w:pStyle w:val="Normal"/>
        <w:keepNext w:val="true"/>
        <w:keepLines w:val="false"/>
        <w:widowControl/>
        <w:numPr>
          <w:ilvl w:val="1"/>
          <w:numId w:val="3"/>
        </w:numPr>
        <w:shd w:val="clear" w:fill="auto"/>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Será desclassificada a proposta vencedora que: </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contiver vícios insanáveis;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não obedecer às especificações técnicas pormenorizadas neste aviso ou em seus anexos;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apresentar preços inexequíveis ou permanecerem acima do preço máximo definido para a contratação;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não tiverem sua exequibilidade demonstrada, quando exigido pela Administração;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apresentar desconformidade com quaisquer outras exigências deste aviso ou seus anexos, desde que insanável.</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keepNext w:val="true"/>
        <w:keepLines w:val="false"/>
        <w:widowControl/>
        <w:numPr>
          <w:ilvl w:val="1"/>
          <w:numId w:val="3"/>
        </w:numPr>
        <w:shd w:val="clear" w:fill="auto"/>
        <w:spacing w:lineRule="auto" w:line="276" w:before="120" w:after="0"/>
        <w:ind w:left="792" w:right="-15"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hd w:val="clear" w:fill="auto"/>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necessidade, a sessão será suspensa, informando-se no “chat” a nova data e horário para a sua continuidade.</w:t>
      </w:r>
    </w:p>
    <w:p>
      <w:pPr>
        <w:pStyle w:val="Normal"/>
        <w:keepNext w:val="true"/>
        <w:keepLines w:val="false"/>
        <w:widowControl/>
        <w:numPr>
          <w:ilvl w:val="1"/>
          <w:numId w:val="3"/>
        </w:numPr>
        <w:shd w:val="clear" w:fill="auto"/>
        <w:spacing w:lineRule="auto" w:line="276" w:before="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HABILITAÇÃO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Os documentos a serem exigidos para fins de habilitação constam do </w:t>
      </w: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 xml:space="preserve">ANEXO IV – DOCUMENTAÇÃO EXIGIDA PARA HABILITAÇÃO </w:t>
      </w: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deste aviso e serão solicitados do fornecedor mais bem classificado da fase de lances.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a) SICAF;  </w:t>
      </w:r>
    </w:p>
    <w:p>
      <w:pPr>
        <w:pStyle w:val="Normal"/>
        <w:keepNext w:val="true"/>
        <w:keepLines w:val="false"/>
        <w:widowControl/>
        <w:shd w:val="clear" w:fill="auto"/>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b) Cadastro Nacional de Empresas Inidôneas e Suspensas - CEIS, mantido pela Controladoria-Geral da União (</w:t>
      </w:r>
      <w:hyperlink r:id="rId3">
        <w:r>
          <w:rPr>
            <w:rFonts w:eastAsia="Arial" w:cs="Arial"/>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 Cadastro Nacional de Condenações Cíveis por Atos de Improbidade Administrativa, mantido pelo Conselho Nacional de Justiça (</w:t>
      </w:r>
      <w:hyperlink r:id="rId4">
        <w:r>
          <w:rPr>
            <w:rFonts w:eastAsia="Arial" w:cs="Arial"/>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  </w:t>
      </w:r>
    </w:p>
    <w:p>
      <w:pPr>
        <w:pStyle w:val="Normal"/>
        <w:keepNext w:val="true"/>
        <w:keepLines w:val="false"/>
        <w:widowControl/>
        <w:shd w:val="clear" w:fill="auto"/>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 xml:space="preserve">d) Lista de Inidôneos mantida pelo Tribunal de Contas da União - TCU; </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hd w:val="clear" w:fill="auto"/>
        <w:spacing w:lineRule="auto" w:line="276" w:before="12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hd w:val="clear" w:fill="auto"/>
        <w:spacing w:lineRule="auto" w:line="276" w:before="0" w:after="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hd w:val="clear" w:fill="auto"/>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será convocado para manifestação previamente à sua desclassificação</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hd w:val="clear" w:fill="auto"/>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hd w:val="clear" w:fill="auto"/>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hd w:val="clear" w:fill="auto"/>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hd w:val="clear" w:fill="auto"/>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hd w:val="clear" w:fill="auto"/>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Constatado o atendimento às exigências de habilitação, o fornecedor será habilitado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CONTRATAÇÃO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i w:val="false"/>
          <w:iCs w:val="false"/>
          <w:color w:val="FF0000"/>
          <w:sz w:val="24"/>
          <w:szCs w:val="24"/>
        </w:rPr>
        <w:t xml:space="preserve"> </w:t>
      </w:r>
      <w:r>
        <w:rPr>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 xml:space="preserve">O prazo previsto para assinatura do contrato ou aceitação da nota de empenho ou instrumento equivalente poderá ser prorrogado </w:t>
      </w:r>
      <w:r>
        <w:rPr>
          <w:i w:val="false"/>
          <w:iCs w:val="false"/>
          <w:sz w:val="24"/>
          <w:szCs w:val="24"/>
        </w:rPr>
        <w:t xml:space="preserve">1 (uma) vez, </w:t>
      </w:r>
      <w:r>
        <w:rPr>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SANÇÕES</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dar causa à inexecução parcial do contrato</w:t>
      </w:r>
      <w:r>
        <w:rPr>
          <w:i w:val="false"/>
          <w:iCs w:val="false"/>
          <w:sz w:val="24"/>
          <w:szCs w:val="24"/>
        </w:rPr>
        <w:t>;</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dar causa à inexecução total do contrato;</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 </w:t>
      </w:r>
      <w:r>
        <w:rPr>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 </w:t>
      </w:r>
      <w:r>
        <w:rPr>
          <w:i w:val="false"/>
          <w:iCs w:val="false"/>
          <w:color w:val="000000"/>
          <w:sz w:val="24"/>
          <w:szCs w:val="24"/>
        </w:rPr>
        <w:t>comportar-se de modo inidôneo ou cometer fraude de qualquer natureza;</w:t>
      </w:r>
    </w:p>
    <w:p>
      <w:pPr>
        <w:pStyle w:val="Normal"/>
        <w:keepNext w:val="true"/>
        <w:keepLines w:val="false"/>
        <w:widowControl/>
        <w:numPr>
          <w:ilvl w:val="3"/>
          <w:numId w:val="3"/>
        </w:numPr>
        <w:shd w:val="clear" w:fill="auto"/>
        <w:spacing w:lineRule="auto" w:line="276" w:before="120" w:after="12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u w:val="none"/>
          <w:shd w:fill="FFFFFF" w:val="clear"/>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 </w:t>
      </w:r>
      <w:r>
        <w:rPr>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hanging="504"/>
        <w:jc w:val="both"/>
        <w:rPr/>
      </w:pPr>
      <w:r>
        <w:rPr>
          <w:i w:val="false"/>
          <w:iCs w:val="false"/>
          <w:color w:val="000000"/>
          <w:sz w:val="24"/>
          <w:szCs w:val="24"/>
        </w:rPr>
        <w:t>praticar ato lesivo previsto no </w:t>
      </w:r>
      <w:r>
        <w:fldChar w:fldCharType="begin"/>
      </w:r>
      <w:r>
        <w:rPr>
          <w:sz w:val="24"/>
          <w:i w:val="false"/>
          <w:szCs w:val="24"/>
          <w:iCs w:val="false"/>
          <w:color w:val="000000"/>
        </w:rPr>
        <w:instrText xml:space="preserve"> HYPERLINK "http://www.planalto.gov.br/ccivil_03/_Ato2011-2014/2013/Lei/L12846.htm" \l "art5"</w:instrText>
      </w:r>
      <w:r>
        <w:rPr>
          <w:sz w:val="24"/>
          <w:i w:val="false"/>
          <w:szCs w:val="24"/>
          <w:iCs w:val="false"/>
          <w:color w:val="000000"/>
        </w:rPr>
        <w:fldChar w:fldCharType="separate"/>
      </w:r>
      <w:r>
        <w:rPr>
          <w:i w:val="false"/>
          <w:iCs w:val="false"/>
          <w:color w:val="000000"/>
          <w:sz w:val="24"/>
          <w:szCs w:val="24"/>
        </w:rPr>
        <w:t>art. 5º da Lei nº 12.846, de 1º de agosto de 2013.</w:t>
      </w:r>
      <w:r>
        <w:rPr>
          <w:sz w:val="24"/>
          <w:i w:val="false"/>
          <w:szCs w:val="24"/>
          <w:iCs w:val="false"/>
          <w:color w:val="000000"/>
        </w:rPr>
        <w:fldChar w:fldCharType="end"/>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hanging="504"/>
        <w:jc w:val="both"/>
        <w:rPr>
          <w:rFonts w:ascii="Arial" w:hAnsi="Arial"/>
          <w:sz w:val="24"/>
          <w:szCs w:val="24"/>
        </w:rPr>
      </w:pPr>
      <w:r>
        <w:rPr>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hanging="504"/>
        <w:jc w:val="both"/>
        <w:rPr>
          <w:rFonts w:ascii="Arial" w:hAnsi="Arial"/>
          <w:sz w:val="24"/>
          <w:szCs w:val="24"/>
        </w:rPr>
      </w:pPr>
      <w:r>
        <w:rPr>
          <w:i w:val="false"/>
          <w:iCs w:val="false"/>
          <w:sz w:val="24"/>
          <w:szCs w:val="24"/>
        </w:rPr>
        <w:t>Multa de</w:t>
      </w:r>
      <w:r>
        <w:rPr>
          <w:i w:val="false"/>
          <w:iCs w:val="false"/>
          <w:color w:val="000000"/>
          <w:sz w:val="24"/>
          <w:szCs w:val="24"/>
        </w:rPr>
        <w:t xml:space="preserve"> 3% (três por cento)</w:t>
      </w:r>
      <w:r>
        <w:rPr>
          <w:i w:val="false"/>
          <w:iCs w:val="false"/>
          <w:color w:val="FF0000"/>
          <w:sz w:val="24"/>
          <w:szCs w:val="24"/>
        </w:rPr>
        <w:t xml:space="preserve"> </w:t>
      </w:r>
      <w:r>
        <w:rPr>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hanging="504"/>
        <w:jc w:val="both"/>
        <w:rPr>
          <w:rFonts w:ascii="Arial" w:hAnsi="Arial"/>
          <w:sz w:val="24"/>
          <w:szCs w:val="24"/>
        </w:rPr>
      </w:pPr>
      <w:r>
        <w:rPr>
          <w:i w:val="false"/>
          <w:iCs w:val="false"/>
          <w:color w:val="000000"/>
          <w:sz w:val="24"/>
          <w:szCs w:val="24"/>
        </w:rPr>
        <w:t>Impedimento de licitar e contratar</w:t>
      </w:r>
      <w:r>
        <w:rPr>
          <w:i w:val="false"/>
          <w:iCs w:val="false"/>
          <w:sz w:val="24"/>
          <w:szCs w:val="24"/>
        </w:rPr>
        <w:t xml:space="preserve"> </w:t>
      </w:r>
      <w:r>
        <w:rPr>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i w:val="false"/>
          <w:iCs w:val="false"/>
          <w:sz w:val="24"/>
          <w:szCs w:val="24"/>
        </w:rPr>
        <w:t>;</w:t>
      </w:r>
    </w:p>
    <w:p>
      <w:pPr>
        <w:pStyle w:val="Normal"/>
        <w:numPr>
          <w:ilvl w:val="2"/>
          <w:numId w:val="2"/>
        </w:numPr>
        <w:spacing w:lineRule="auto" w:line="276" w:before="120" w:after="120"/>
        <w:ind w:left="1224" w:hanging="504"/>
        <w:jc w:val="both"/>
        <w:rPr>
          <w:rFonts w:ascii="Arial" w:hAnsi="Arial"/>
          <w:sz w:val="24"/>
          <w:szCs w:val="24"/>
        </w:rPr>
      </w:pPr>
      <w:r>
        <w:rPr>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i w:val="false"/>
          <w:iCs w:val="false"/>
          <w:sz w:val="24"/>
          <w:szCs w:val="24"/>
        </w:rPr>
        <w:t>;</w:t>
      </w:r>
    </w:p>
    <w:p>
      <w:pPr>
        <w:pStyle w:val="Normal"/>
        <w:numPr>
          <w:ilvl w:val="1"/>
          <w:numId w:val="3"/>
        </w:numPr>
        <w:spacing w:lineRule="auto" w:line="276" w:before="120" w:after="120"/>
        <w:ind w:left="792" w:hanging="432"/>
        <w:jc w:val="both"/>
        <w:rPr>
          <w:rFonts w:ascii="Arial" w:hAnsi="Arial"/>
          <w:sz w:val="24"/>
          <w:szCs w:val="24"/>
        </w:rPr>
      </w:pPr>
      <w:r>
        <w:rPr>
          <w:i w:val="false"/>
          <w:iCs w:val="false"/>
          <w:sz w:val="24"/>
          <w:szCs w:val="24"/>
        </w:rPr>
        <w:t>Na aplicação das sanções serão considerados:</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a natureza e a gravidade da infração cometida;</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as peculiaridades do caso concreto;</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as circunstâncias agravantes ou atenuantes;</w:t>
      </w:r>
    </w:p>
    <w:p>
      <w:pPr>
        <w:pStyle w:val="Normal"/>
        <w:numPr>
          <w:ilvl w:val="2"/>
          <w:numId w:val="3"/>
        </w:numPr>
        <w:spacing w:lineRule="auto" w:line="276" w:before="120" w:after="120"/>
        <w:ind w:left="1224" w:hanging="504"/>
        <w:jc w:val="both"/>
        <w:rPr>
          <w:rFonts w:ascii="Arial" w:hAnsi="Arial"/>
          <w:sz w:val="24"/>
          <w:szCs w:val="24"/>
        </w:rPr>
      </w:pPr>
      <w:r>
        <w:rPr>
          <w:i w:val="false"/>
          <w:iCs w:val="false"/>
          <w:sz w:val="24"/>
          <w:szCs w:val="24"/>
        </w:rPr>
        <w:t>os danos que dela provierem para a Administração Pública;</w:t>
      </w:r>
    </w:p>
    <w:p>
      <w:pPr>
        <w:pStyle w:val="Normal"/>
        <w:numPr>
          <w:ilvl w:val="2"/>
          <w:numId w:val="3"/>
        </w:numPr>
        <w:spacing w:lineRule="auto" w:line="276" w:before="120" w:after="120"/>
        <w:ind w:left="1224" w:hanging="504"/>
        <w:jc w:val="both"/>
        <w:rPr>
          <w:rFonts w:ascii="Arial" w:hAnsi="Arial"/>
          <w:sz w:val="24"/>
          <w:szCs w:val="24"/>
        </w:rPr>
      </w:pPr>
      <w:bookmarkStart w:id="0" w:name="3znysh7"/>
      <w:bookmarkStart w:id="1" w:name="1fob9te"/>
      <w:bookmarkStart w:id="2" w:name="30j0zll"/>
      <w:bookmarkEnd w:id="0"/>
      <w:bookmarkEnd w:id="1"/>
      <w:bookmarkEnd w:id="2"/>
      <w:r>
        <w:rPr>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hanging="0"/>
        <w:jc w:val="both"/>
        <w:rPr>
          <w:rFonts w:ascii="Arial" w:hAnsi="Arial"/>
          <w:sz w:val="24"/>
          <w:szCs w:val="24"/>
        </w:rPr>
      </w:pPr>
      <w:bookmarkStart w:id="3" w:name="2et92p0"/>
      <w:bookmarkEnd w:id="3"/>
      <w:r>
        <w:rPr>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As sanções por atos praticados no decorrer da contratação estão previstas nos anexos a este Aviso.</w:t>
      </w:r>
    </w:p>
    <w:p>
      <w:pPr>
        <w:pStyle w:val="Normal"/>
        <w:keepNext w:val="true"/>
        <w:keepLines w:val="false"/>
        <w:widowControl/>
        <w:numPr>
          <w:ilvl w:val="0"/>
          <w:numId w:val="3"/>
        </w:numPr>
        <w:shd w:val="clear" w:fill="auto"/>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DOS RECURSOS ORÇAMENTÁRIOS</w:t>
      </w:r>
    </w:p>
    <w:p>
      <w:pPr>
        <w:pStyle w:val="Nivel1"/>
        <w:numPr>
          <w:ilvl w:val="1"/>
          <w:numId w:val="3"/>
        </w:numPr>
        <w:spacing w:before="120" w:after="120"/>
        <w:ind w:left="716" w:right="-30" w:hanging="0"/>
        <w:jc w:val="both"/>
        <w:rPr>
          <w:rFonts w:ascii="Arial" w:hAnsi="Arial"/>
          <w:sz w:val="24"/>
          <w:szCs w:val="24"/>
        </w:rPr>
      </w:pPr>
      <w:r>
        <w:rPr>
          <w:rFonts w:cs="Arial"/>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rFonts w:ascii="Arial" w:hAnsi="Arial"/>
          <w:sz w:val="24"/>
          <w:szCs w:val="24"/>
          <w:highlight w:val="none"/>
          <w:shd w:fill="auto" w:val="clear"/>
        </w:rPr>
      </w:pPr>
      <w:r>
        <w:rPr>
          <w:rFonts w:cs="Arial"/>
          <w:i w:val="false"/>
          <w:iCs w:val="false"/>
          <w:color w:val="000000"/>
          <w:sz w:val="24"/>
          <w:szCs w:val="24"/>
          <w:shd w:fill="auto" w:val="clear"/>
        </w:rPr>
        <w:t>Gestão/Unidade: 0001/795400</w:t>
      </w:r>
    </w:p>
    <w:p>
      <w:pPr>
        <w:pStyle w:val="Normal"/>
        <w:spacing w:lineRule="auto" w:line="276" w:before="120" w:after="120"/>
        <w:ind w:left="1494" w:right="0" w:hanging="0"/>
        <w:jc w:val="both"/>
        <w:rPr>
          <w:rFonts w:ascii="Arial" w:hAnsi="Arial"/>
          <w:sz w:val="24"/>
          <w:szCs w:val="24"/>
          <w:highlight w:val="none"/>
          <w:shd w:fill="auto" w:val="clear"/>
        </w:rPr>
      </w:pPr>
      <w:r>
        <w:rPr>
          <w:rFonts w:cs="Arial"/>
          <w:i w:val="false"/>
          <w:iCs w:val="false"/>
          <w:color w:val="000000"/>
          <w:sz w:val="24"/>
          <w:szCs w:val="24"/>
          <w:shd w:fill="auto" w:val="clear"/>
        </w:rPr>
        <w:t xml:space="preserve">Fonte: </w:t>
      </w:r>
      <w:bookmarkStart w:id="4" w:name="manterPage%2525252525253Aform%2525252525"/>
      <w:bookmarkStart w:id="5" w:name="manterPage%2525252525253Aform%2525252525"/>
      <w:bookmarkEnd w:id="4"/>
      <w:bookmarkEnd w:id="5"/>
      <w:r>
        <w:rPr>
          <w:rFonts w:eastAsia="Arial" w:cs="Arial"/>
          <w:i w:val="false"/>
          <w:iCs w:val="false"/>
          <w:color w:val="000000"/>
          <w:kern w:val="0"/>
          <w:sz w:val="24"/>
          <w:szCs w:val="24"/>
          <w:shd w:fill="auto" w:val="clear"/>
          <w:lang w:val="pt-BR" w:eastAsia="zh-CN" w:bidi="hi-IN"/>
        </w:rPr>
        <w:t xml:space="preserve">1000000000 </w:t>
      </w:r>
    </w:p>
    <w:p>
      <w:pPr>
        <w:pStyle w:val="Normal"/>
        <w:spacing w:lineRule="auto" w:line="276" w:before="120" w:after="120"/>
        <w:ind w:left="1494" w:right="0" w:hanging="0"/>
        <w:jc w:val="both"/>
        <w:rPr>
          <w:rFonts w:ascii="Arial" w:hAnsi="Arial"/>
          <w:sz w:val="24"/>
          <w:szCs w:val="24"/>
          <w:highlight w:val="none"/>
          <w:shd w:fill="auto" w:val="clear"/>
        </w:rPr>
      </w:pPr>
      <w:r>
        <w:rPr>
          <w:rFonts w:cs="Arial"/>
          <w:i w:val="false"/>
          <w:iCs w:val="false"/>
          <w:color w:val="000000"/>
          <w:sz w:val="24"/>
          <w:szCs w:val="24"/>
          <w:shd w:fill="auto" w:val="clear"/>
        </w:rPr>
        <w:t>Program</w:t>
      </w:r>
      <w:r>
        <w:rPr>
          <w:rFonts w:eastAsia="Arial" w:cs="Arial"/>
          <w:i w:val="false"/>
          <w:iCs w:val="false"/>
          <w:color w:val="000000"/>
          <w:kern w:val="0"/>
          <w:sz w:val="24"/>
          <w:szCs w:val="24"/>
          <w:shd w:fill="auto" w:val="clear"/>
          <w:lang w:val="pt-BR" w:eastAsia="zh-CN" w:bidi="hi-IN"/>
        </w:rPr>
        <w:t>a de Traba</w:t>
      </w:r>
      <w:r>
        <w:rPr>
          <w:rFonts w:cs="Arial"/>
          <w:i w:val="false"/>
          <w:iCs w:val="false"/>
          <w:color w:val="000000"/>
          <w:sz w:val="24"/>
          <w:szCs w:val="24"/>
          <w:shd w:fill="auto" w:val="clear"/>
        </w:rPr>
        <w:t xml:space="preserve">lho: </w:t>
      </w:r>
      <w:r>
        <w:rPr>
          <w:rFonts w:eastAsia="Arial" w:cs="Arial"/>
          <w:i w:val="false"/>
          <w:iCs w:val="false"/>
          <w:color w:val="000000"/>
          <w:kern w:val="0"/>
          <w:sz w:val="24"/>
          <w:szCs w:val="24"/>
          <w:shd w:fill="auto" w:val="clear"/>
          <w:lang w:val="pt-BR" w:eastAsia="zh-CN" w:bidi="hi-IN"/>
        </w:rPr>
        <w:t>236885</w:t>
      </w:r>
    </w:p>
    <w:p>
      <w:pPr>
        <w:pStyle w:val="Normal"/>
        <w:spacing w:lineRule="auto" w:line="276" w:before="120" w:after="120"/>
        <w:ind w:left="1494" w:right="0" w:hanging="0"/>
        <w:jc w:val="both"/>
        <w:rPr>
          <w:rFonts w:ascii="Arial" w:hAnsi="Arial"/>
          <w:sz w:val="24"/>
          <w:szCs w:val="24"/>
          <w:highlight w:val="none"/>
          <w:shd w:fill="auto" w:val="clear"/>
        </w:rPr>
      </w:pPr>
      <w:r>
        <w:rPr>
          <w:rFonts w:cs="Arial"/>
          <w:i w:val="false"/>
          <w:iCs w:val="false"/>
          <w:color w:val="000000"/>
          <w:sz w:val="24"/>
          <w:szCs w:val="24"/>
          <w:shd w:fill="auto" w:val="clear"/>
        </w:rPr>
        <w:t xml:space="preserve">Elemento de Despesa: </w:t>
      </w:r>
      <w:r>
        <w:rPr>
          <w:rFonts w:eastAsia="Arial" w:cs="Arial"/>
          <w:i w:val="false"/>
          <w:iCs w:val="false"/>
          <w:color w:val="000000"/>
          <w:kern w:val="0"/>
          <w:sz w:val="24"/>
          <w:szCs w:val="24"/>
          <w:shd w:fill="auto" w:val="clear"/>
          <w:lang w:val="pt-BR" w:eastAsia="zh-CN" w:bidi="hi-IN"/>
        </w:rPr>
        <w:t>339030</w:t>
      </w:r>
    </w:p>
    <w:p>
      <w:pPr>
        <w:pStyle w:val="Normal"/>
        <w:numPr>
          <w:ilvl w:val="0"/>
          <w:numId w:val="0"/>
        </w:numPr>
        <w:spacing w:lineRule="auto" w:line="276" w:before="120" w:after="120"/>
        <w:ind w:left="1494" w:right="0" w:hanging="0"/>
        <w:jc w:val="both"/>
        <w:rPr>
          <w:rFonts w:ascii="Arial" w:hAnsi="Arial"/>
          <w:sz w:val="24"/>
          <w:szCs w:val="24"/>
          <w:highlight w:val="none"/>
          <w:shd w:fill="auto" w:val="clear"/>
        </w:rPr>
      </w:pPr>
      <w:r>
        <w:rPr>
          <w:rFonts w:eastAsia="Arial" w:cs="Arial"/>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PI:  O.C57.00.1.</w:t>
      </w:r>
      <w:r>
        <w:rPr>
          <w:rFonts w:eastAsia="Arial" w:cs="Arial"/>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1</w:t>
      </w:r>
      <w:r>
        <w:rPr>
          <w:rFonts w:eastAsia="Arial" w:cs="Arial"/>
          <w:b w:val="false"/>
          <w:bCs w:val="false"/>
          <w:i w:val="false"/>
          <w:iCs w:val="false"/>
          <w:caps w:val="false"/>
          <w:smallCaps w:val="false"/>
          <w:strike w:val="false"/>
          <w:dstrike w:val="false"/>
          <w:color w:val="000000"/>
          <w:kern w:val="0"/>
          <w:position w:val="0"/>
          <w:sz w:val="24"/>
          <w:sz w:val="24"/>
          <w:szCs w:val="24"/>
          <w:u w:val="none"/>
          <w:shd w:fill="auto" w:val="clear"/>
          <w:vertAlign w:val="baseline"/>
          <w:lang w:val="pt-BR" w:eastAsia="zh-CN" w:bidi="hi-IN"/>
        </w:rPr>
        <w:t>.000/ X.488.DV.3.Z.9.RX</w:t>
      </w:r>
    </w:p>
    <w:p>
      <w:pPr>
        <w:pStyle w:val="Normal"/>
        <w:widowControl/>
        <w:numPr>
          <w:ilvl w:val="0"/>
          <w:numId w:val="3"/>
        </w:numPr>
        <w:shd w:val="clear" w:fill="auto"/>
        <w:spacing w:lineRule="auto" w:line="276" w:before="120" w:after="120"/>
        <w:ind w:left="360" w:right="0" w:hanging="360"/>
        <w:jc w:val="both"/>
        <w:rPr>
          <w:rFonts w:ascii="Arial" w:hAnsi="Arial"/>
          <w:sz w:val="24"/>
          <w:szCs w:val="24"/>
          <w:highlight w:val="none"/>
          <w:shd w:fill="auto" w:val="clear"/>
        </w:rPr>
      </w:pPr>
      <w:r>
        <w:rPr>
          <w:rFonts w:eastAsia="Arial" w:cs="Arial"/>
          <w:b/>
          <w:i w:val="false"/>
          <w:iCs w:val="false"/>
          <w:caps w:val="false"/>
          <w:smallCaps w:val="false"/>
          <w:strike w:val="false"/>
          <w:dstrike w:val="false"/>
          <w:color w:val="000000"/>
          <w:position w:val="0"/>
          <w:sz w:val="24"/>
          <w:sz w:val="24"/>
          <w:szCs w:val="24"/>
          <w:u w:val="none"/>
          <w:shd w:fill="auto" w:val="clear"/>
          <w:vertAlign w:val="baseline"/>
        </w:rPr>
        <w:t>DAS DISPOSIÇÕES GERAIS</w:t>
      </w:r>
    </w:p>
    <w:p>
      <w:pPr>
        <w:pStyle w:val="Normal"/>
        <w:numPr>
          <w:ilvl w:val="1"/>
          <w:numId w:val="3"/>
        </w:numPr>
        <w:spacing w:lineRule="auto" w:line="276" w:before="120" w:after="120"/>
        <w:ind w:left="425" w:hanging="0"/>
        <w:jc w:val="both"/>
        <w:rPr>
          <w:rFonts w:ascii="Arial" w:hAnsi="Arial"/>
          <w:sz w:val="24"/>
          <w:szCs w:val="24"/>
        </w:rPr>
      </w:pPr>
      <w:r>
        <w:rPr>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republicar o presente aviso com uma nova data;</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hanging="648"/>
        <w:jc w:val="both"/>
        <w:rPr>
          <w:rFonts w:ascii="Arial" w:hAnsi="Arial"/>
          <w:sz w:val="24"/>
          <w:szCs w:val="24"/>
        </w:rPr>
      </w:pPr>
      <w:r>
        <w:rPr>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hanging="504"/>
        <w:jc w:val="both"/>
        <w:rPr>
          <w:rFonts w:ascii="Arial" w:hAnsi="Arial"/>
          <w:sz w:val="24"/>
          <w:szCs w:val="24"/>
        </w:rPr>
      </w:pPr>
      <w:r>
        <w:rPr>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hanging="0"/>
        <w:jc w:val="both"/>
        <w:rPr>
          <w:rFonts w:ascii="Arial" w:hAnsi="Arial"/>
          <w:sz w:val="24"/>
          <w:szCs w:val="24"/>
        </w:rPr>
      </w:pPr>
      <w:r>
        <w:rPr>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IV – Documentação exigida para Habilitação; e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IV – Mapa Comparativo de Preços</w:t>
      </w:r>
    </w:p>
    <w:p>
      <w:pPr>
        <w:pStyle w:val="Normal"/>
        <w:spacing w:lineRule="auto" w:line="276" w:before="120" w:after="120"/>
        <w:jc w:val="both"/>
        <w:rPr>
          <w:rFonts w:ascii="Arial" w:hAnsi="Arial"/>
          <w:sz w:val="24"/>
          <w:szCs w:val="24"/>
        </w:rPr>
      </w:pPr>
      <w:r>
        <w:rPr>
          <w:i w:val="false"/>
          <w:iCs w:val="false"/>
          <w:color w:val="000000"/>
          <w:sz w:val="24"/>
          <w:szCs w:val="24"/>
        </w:rPr>
      </w:r>
    </w:p>
    <w:p>
      <w:pPr>
        <w:pStyle w:val="Normal"/>
        <w:spacing w:lineRule="auto" w:line="276" w:before="0" w:after="120"/>
        <w:ind w:left="360" w:right="-15" w:hanging="0"/>
        <w:jc w:val="both"/>
        <w:rPr>
          <w:rFonts w:ascii="Arial" w:hAnsi="Arial"/>
          <w:sz w:val="24"/>
          <w:szCs w:val="24"/>
        </w:rPr>
      </w:pPr>
      <w:r>
        <w:rPr>
          <w:i w:val="false"/>
          <w:iCs w:val="false"/>
          <w:color w:val="000000"/>
          <w:sz w:val="24"/>
          <w:szCs w:val="24"/>
        </w:rPr>
        <w:t>Rio de Janeiro ,       de                    de 2024</w:t>
      </w:r>
    </w:p>
    <w:p>
      <w:pPr>
        <w:pStyle w:val="Normal"/>
        <w:spacing w:lineRule="auto" w:line="276" w:before="0" w:after="120"/>
        <w:ind w:left="360" w:right="-15" w:hanging="0"/>
        <w:jc w:val="both"/>
        <w:rPr>
          <w:rFonts w:ascii="Arial" w:hAnsi="Arial"/>
          <w:sz w:val="24"/>
          <w:szCs w:val="24"/>
        </w:rPr>
      </w:pPr>
      <w:r>
        <w:rPr/>
      </w:r>
    </w:p>
    <w:p>
      <w:pPr>
        <w:pStyle w:val="Calibri"/>
        <w:rPr>
          <w:rFonts w:ascii="Arial" w:hAnsi="Arial"/>
          <w:sz w:val="24"/>
          <w:szCs w:val="24"/>
        </w:rPr>
      </w:pPr>
      <w:r>
        <w:rPr>
          <w:rFonts w:ascii="Arial" w:hAnsi="Arial"/>
          <w:sz w:val="24"/>
          <w:szCs w:val="24"/>
        </w:rPr>
        <w:t>_____________________________________</w:t>
      </w:r>
    </w:p>
    <w:p>
      <w:pPr>
        <w:pStyle w:val="Normal"/>
        <w:bidi w:val="0"/>
        <w:jc w:val="center"/>
        <w:rPr>
          <w:rFonts w:ascii="Arial" w:hAnsi="Arial"/>
          <w:sz w:val="24"/>
          <w:szCs w:val="24"/>
        </w:rPr>
      </w:pPr>
      <w:r>
        <w:rPr>
          <w:rFonts w:eastAsia="Times New Roman" w:cs="Arial" w:ascii="Arial" w:hAnsi="Arial"/>
          <w:b w:val="false"/>
          <w:bCs w:val="false"/>
          <w:i w:val="false"/>
          <w:iCs/>
          <w:strike w:val="false"/>
          <w:dstrike w:val="false"/>
          <w:outline w:val="false"/>
          <w:shadow w:val="false"/>
          <w:color w:val="000000"/>
          <w:sz w:val="24"/>
          <w:szCs w:val="24"/>
          <w:u w:val="none"/>
          <w:em w:val="none"/>
        </w:rPr>
        <w:t xml:space="preserve">HUGO MARCIO LIMA </w:t>
      </w:r>
      <w:r>
        <w:rPr>
          <w:rFonts w:eastAsia="Times New Roman" w:cs="Arial" w:ascii="Arial" w:hAnsi="Arial"/>
          <w:b/>
          <w:bCs/>
          <w:i w:val="false"/>
          <w:iCs/>
          <w:strike w:val="false"/>
          <w:dstrike w:val="false"/>
          <w:outline w:val="false"/>
          <w:shadow w:val="false"/>
          <w:color w:val="000000"/>
          <w:sz w:val="24"/>
          <w:szCs w:val="24"/>
          <w:u w:val="none"/>
          <w:em w:val="none"/>
        </w:rPr>
        <w:t>GODINHO</w:t>
      </w:r>
    </w:p>
    <w:p>
      <w:pPr>
        <w:pStyle w:val="Normal"/>
        <w:spacing w:lineRule="auto" w:line="240" w:before="0" w:after="0"/>
        <w:jc w:val="center"/>
        <w:rPr>
          <w:rFonts w:ascii="Arial" w:hAnsi="Arial"/>
          <w:sz w:val="24"/>
          <w:szCs w:val="24"/>
        </w:rPr>
      </w:pPr>
      <w:r>
        <w:rPr>
          <w:b w:val="false"/>
          <w:bCs w:val="false"/>
          <w:sz w:val="24"/>
          <w:szCs w:val="24"/>
        </w:rPr>
        <w:t>C</w:t>
      </w:r>
      <w:r>
        <w:rPr>
          <w:b w:val="false"/>
          <w:bCs w:val="false"/>
          <w:sz w:val="24"/>
          <w:szCs w:val="24"/>
        </w:rPr>
        <w:t>F</w:t>
      </w:r>
      <w:r>
        <w:rPr>
          <w:b w:val="false"/>
          <w:bCs w:val="false"/>
          <w:sz w:val="24"/>
          <w:szCs w:val="24"/>
        </w:rPr>
        <w:t xml:space="preserve"> (FN)</w:t>
      </w:r>
    </w:p>
    <w:p>
      <w:pPr>
        <w:pStyle w:val="Normal"/>
        <w:spacing w:lineRule="atLeast" w:line="283"/>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r>
        <w:rPr>
          <w:rFonts w:eastAsia="Times New Roman" w:cs="Arial"/>
          <w:b w:val="false"/>
          <w:bCs w:val="false"/>
          <w:i w:val="false"/>
          <w:iCs/>
          <w:strike w:val="false"/>
          <w:dstrike w:val="false"/>
          <w:outline w:val="false"/>
          <w:shadow w:val="false"/>
          <w:color w:val="000000"/>
          <w:sz w:val="24"/>
          <w:szCs w:val="24"/>
          <w:u w:val="none"/>
          <w:em w:val="none"/>
        </w:rPr>
        <w:t>Substituto</w:t>
      </w:r>
    </w:p>
    <w:p>
      <w:pPr>
        <w:pStyle w:val="Normal"/>
        <w:jc w:val="both"/>
        <w:rPr>
          <w:rFonts w:ascii="Arial" w:hAnsi="Arial"/>
          <w:b/>
          <w:b/>
          <w:i w:val="false"/>
          <w:i w:val="false"/>
          <w:iCs w:val="false"/>
          <w:sz w:val="24"/>
          <w:szCs w:val="24"/>
        </w:rPr>
      </w:pPr>
      <w:r>
        <w:rPr>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Arial" w:hAnsi="Arial"/>
          <w:b/>
          <w:b/>
          <w:i w:val="false"/>
          <w:i w:val="false"/>
          <w:iCs w:val="false"/>
          <w:sz w:val="24"/>
          <w:szCs w:val="24"/>
        </w:rPr>
      </w:pPr>
      <w:r>
        <w:rPr>
          <w:b/>
          <w:i w:val="false"/>
          <w:iCs w:val="false"/>
          <w:sz w:val="24"/>
          <w:szCs w:val="24"/>
        </w:rPr>
      </w:r>
    </w:p>
    <w:p>
      <w:pPr>
        <w:pStyle w:val="Normal"/>
        <w:jc w:val="both"/>
        <w:rPr>
          <w:rFonts w:ascii="Arial" w:hAnsi="Arial"/>
          <w:sz w:val="24"/>
          <w:szCs w:val="24"/>
        </w:rPr>
      </w:pPr>
      <w:r>
        <w:rPr>
          <w:b/>
          <w:i w:val="false"/>
          <w:iCs w:val="false"/>
          <w:sz w:val="24"/>
          <w:szCs w:val="24"/>
        </w:rPr>
        <w:t>ANEXO IV – DOCUMENTAÇÃO EXIGIDA PARA HABILITAÇÃO</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 xml:space="preserve"> </w:t>
      </w:r>
      <w:r>
        <w:rPr>
          <w:rFonts w:eastAsia="Arial" w:cs="Arial"/>
          <w:b/>
          <w:i w:val="false"/>
          <w:iCs w:val="false"/>
          <w:caps w:val="false"/>
          <w:smallCaps w:val="false"/>
          <w:strike w:val="false"/>
          <w:dstrike w:val="false"/>
          <w:color w:val="000000"/>
          <w:position w:val="0"/>
          <w:sz w:val="24"/>
          <w:sz w:val="24"/>
          <w:szCs w:val="24"/>
          <w:u w:val="none"/>
          <w:shd w:fill="FFFFFF" w:val="clear"/>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hanging="360"/>
        <w:jc w:val="both"/>
        <w:rPr>
          <w:rFonts w:ascii="Arial" w:hAnsi="Arial"/>
          <w:sz w:val="24"/>
          <w:szCs w:val="24"/>
        </w:rPr>
      </w:pPr>
      <w:r>
        <w:rPr>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sectPr>
      <w:footerReference w:type="default" r:id="rId5"/>
      <w:type w:val="nextPage"/>
      <w:pgSz w:w="11906" w:h="16838"/>
      <w:pgMar w:left="1185" w:right="1076" w:gutter="0" w:header="0" w:top="1417" w:footer="708" w:bottom="1417"/>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rlto">
    <w:charset w:val="01"/>
    <w:family w:val="roman"/>
    <w:pitch w:val="variable"/>
  </w:font>
  <w:font w:name="Arial">
    <w:charset w:val="01"/>
    <w:family w:val="swiss"/>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Câmara Nacional de Modelos de Licitações e Contratos – CNMLC/CGU/AGU</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2"/>
        <w:sz w:val="12"/>
        <w:szCs w:val="12"/>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Aviso de Dispensa Eletrônica – Lei nº 14.133/21 e IN SEGES/ME nº 67/2021</w:t>
    </w:r>
  </w:p>
  <w:p>
    <w:pPr>
      <w:pStyle w:val="Normal"/>
      <w:keepNext w:val="true"/>
      <w:keepLines w:val="false"/>
      <w:widowControl/>
      <w:shd w:val="clear" w:fill="auto"/>
      <w:tabs>
        <w:tab w:val="clear" w:pos="709"/>
        <w:tab w:val="center" w:pos="4252" w:leader="none"/>
        <w:tab w:val="right" w:pos="8504"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0"/>
        <w:sz w:val="20"/>
        <w:szCs w:val="20"/>
        <w:u w:val="none"/>
        <w:vertAlign w:val="baseline"/>
      </w:rPr>
    </w:pPr>
    <w:r>
      <w:rPr>
        <w:rFonts w:eastAsia="Arial" w:cs="Arial"/>
        <w:b w:val="false"/>
        <w:i w:val="false"/>
        <w:caps w:val="false"/>
        <w:smallCaps w:val="false"/>
        <w:strike w:val="false"/>
        <w:dstrike w:val="false"/>
        <w:color w:val="000000"/>
        <w:position w:val="0"/>
        <w:sz w:val="12"/>
        <w:sz w:val="12"/>
        <w:szCs w:val="12"/>
        <w:u w:val="none"/>
        <w:shd w:fill="FFFFFF" w:val="clear"/>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qForma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shd w:fill="FFFFCC" w:val="clear"/>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pt-BR" w:eastAsia="en-US"/>
    </w:rPr>
  </w:style>
  <w:style w:type="character" w:styleId="Citao2Char">
    <w:name w:val="citação 2 Char"/>
    <w:qFormat/>
    <w:rPr>
      <w:rFonts w:ascii="Ecofont_Spranq_eco_Sans" w:hAnsi="Ecofont_Spranq_eco_Sans" w:eastAsia="Tahoma"/>
      <w:i/>
      <w:iCs/>
      <w:color w:val="000000"/>
      <w:shd w:fill="FFFFCC" w:val="clear"/>
      <w:lang w:eastAsia="en-US"/>
    </w:rPr>
  </w:style>
  <w:style w:type="character" w:styleId="CitaoChar">
    <w:name w:val="Citação Char"/>
    <w:qFormat/>
    <w:rPr>
      <w:rFonts w:ascii="Ecofont_Spranq_eco_Sans" w:hAnsi="Ecofont_Spranq_eco_Sans" w:eastAsia="Tahoma"/>
      <w:i/>
      <w:iCs/>
      <w:color w:val="000000"/>
      <w:szCs w:val="24"/>
      <w:shd w:fill="FFFFCC" w:val="clear"/>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default="1">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shd w:fill="FFFFCC" w:val="clear"/>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Autospacing="1" w:afterAutospacing="1"/>
    </w:pPr>
    <w:rPr>
      <w:rFonts w:ascii="Times New Roman" w:hAnsi="Times New Roman" w:eastAsia="Times New Roman"/>
      <w:lang w:eastAsia="ar-SA"/>
    </w:rPr>
  </w:style>
  <w:style w:type="paragraph" w:styleId="ListParagraph">
    <w:name w:val="List Paragraph"/>
    <w:basedOn w:val="Normal"/>
    <w:qFormat/>
    <w:pPr>
      <w:spacing w:before="0" w:after="0"/>
      <w:ind w:left="72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ARIAL">
    <w:name w:val="ARIAL"/>
    <w:basedOn w:val="Calibri"/>
    <w:qFormat/>
    <w:pPr/>
    <w:rPr/>
  </w:style>
  <w:style w:type="paragraph" w:styleId="LOnormal3">
    <w:name w:val="LO-normal3"/>
    <w:qFormat/>
    <w:pPr>
      <w:widowControl/>
      <w:suppressAutoHyphens w:val="true"/>
      <w:bidi w:val="0"/>
      <w:spacing w:lineRule="auto" w:line="276" w:before="0" w:after="200"/>
      <w:jc w:val="left"/>
    </w:pPr>
    <w:rPr>
      <w:rFonts w:ascii="Liberation Serif" w:hAnsi="Liberation Serif" w:eastAsia="Noto Sans CJK SC" w:cs="Lohit Devanagari"/>
      <w:color w:val="auto"/>
      <w:kern w:val="2"/>
      <w:sz w:val="20"/>
      <w:szCs w:val="24"/>
      <w:lang w:val="pt-BR" w:eastAsia="zh-CN" w:bidi="hi-IN"/>
    </w:rPr>
  </w:style>
  <w:style w:type="paragraph" w:styleId="LOnormal5">
    <w:name w:val="LO-normal5"/>
    <w:qFormat/>
    <w:pPr>
      <w:widowControl/>
      <w:suppressAutoHyphens w:val="true"/>
      <w:bidi w:val="0"/>
      <w:spacing w:lineRule="auto" w:line="276" w:before="0" w:after="200"/>
      <w:jc w:val="left"/>
    </w:pPr>
    <w:rPr>
      <w:rFonts w:ascii="Liberation Serif" w:hAnsi="Liberation Serif" w:eastAsia="Noto Sans CJK SC" w:cs="Lohit Devanagari"/>
      <w:color w:val="auto"/>
      <w:kern w:val="2"/>
      <w:sz w:val="20"/>
      <w:szCs w:val="24"/>
      <w:lang w:val="pt-BR" w:eastAsia="zh-CN" w:bidi="hi-IN"/>
    </w:rPr>
  </w:style>
  <w:style w:type="paragraph" w:styleId="LOnormal7">
    <w:name w:val="LO-normal7"/>
    <w:qFormat/>
    <w:pPr>
      <w:widowControl/>
      <w:suppressAutoHyphens w:val="true"/>
      <w:bidi w:val="0"/>
      <w:spacing w:lineRule="auto" w:line="276" w:before="0" w:after="200"/>
      <w:jc w:val="left"/>
    </w:pPr>
    <w:rPr>
      <w:rFonts w:ascii="Liberation Serif" w:hAnsi="Liberation Serif" w:eastAsia="Noto Sans CJK SC" w:cs="Lohit Devanagari"/>
      <w:color w:val="auto"/>
      <w:kern w:val="2"/>
      <w:sz w:val="20"/>
      <w:szCs w:val="24"/>
      <w:lang w:val="pt-BR" w:eastAsia="zh-CN" w:bidi="hi-IN"/>
    </w:rPr>
  </w:style>
  <w:style w:type="numbering" w:styleId="NoList">
    <w:name w:val="No List"/>
    <w:qFormat/>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1569</TotalTime>
  <Application>LibreOffice/7.3.7.2$Linux_X86_64 LibreOffice_project/30$Build-2</Application>
  <AppVersion>15.0000</AppVersion>
  <Pages>14</Pages>
  <Words>4700</Words>
  <Characters>27112</Characters>
  <CharactersWithSpaces>31468</CharactersWithSpaces>
  <Paragraphs>257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2024-06-18T15:40:20Z</cp:lastPrinted>
  <dcterms:modified xsi:type="dcterms:W3CDTF">2024-06-18T15:54:14Z</dcterms:modified>
  <cp:revision>239</cp:revision>
  <dc:subject/>
  <dc:title/>
</cp:coreProperties>
</file>

<file path=docProps/custom.xml><?xml version="1.0" encoding="utf-8"?>
<Properties xmlns="http://schemas.openxmlformats.org/officeDocument/2006/custom-properties" xmlns:vt="http://schemas.openxmlformats.org/officeDocument/2006/docPropsVTypes"/>
</file>